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B5" w:rsidRPr="009F1DA9" w:rsidRDefault="00CA670A">
      <w:pPr>
        <w:tabs>
          <w:tab w:val="left" w:pos="7499"/>
        </w:tabs>
        <w:spacing w:line="600" w:lineRule="exact"/>
        <w:ind w:rightChars="-149" w:right="-313"/>
        <w:jc w:val="center"/>
        <w:rPr>
          <w:rFonts w:asciiTheme="majorEastAsia" w:eastAsiaTheme="majorEastAsia" w:hAnsiTheme="majorEastAsia" w:cs="方正小标宋_GBK"/>
          <w:sz w:val="44"/>
          <w:szCs w:val="44"/>
          <w:lang w:eastAsia="zh-CN"/>
        </w:rPr>
      </w:pPr>
      <w:r w:rsidRPr="009F1DA9">
        <w:rPr>
          <w:rFonts w:asciiTheme="majorEastAsia" w:eastAsiaTheme="majorEastAsia" w:hAnsiTheme="majorEastAsia" w:cs="方正小标宋_GBK" w:hint="eastAsia"/>
          <w:sz w:val="44"/>
          <w:szCs w:val="44"/>
          <w:lang w:eastAsia="zh-CN"/>
        </w:rPr>
        <w:t>污水在线监测设备运维需求</w:t>
      </w:r>
    </w:p>
    <w:p w:rsidR="005752B5" w:rsidRPr="009F1DA9" w:rsidRDefault="00CA670A">
      <w:pPr>
        <w:tabs>
          <w:tab w:val="left" w:pos="7499"/>
        </w:tabs>
        <w:spacing w:line="560" w:lineRule="exact"/>
        <w:ind w:rightChars="-149" w:right="-313"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中标方需负责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在线监测仪器运行所需的药剂、月度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比对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、季度比对、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年度校验、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耗材、配件（包括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3000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元以内配件）、日常维护、故障处理、无线网卡等。维护内容：仪器的清洗、保养、检查、标定、曲线校正、每季度进行第三方比对监测，费用由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中标方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承担。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中标方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承诺并保证实施的所有程序和过程，必须达到或优于环保主管部门对“出水监控房自动监控系统运行维护”的有关规范、规定要求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，以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及国家有关强制性或推荐性的标准或规范。</w:t>
      </w:r>
      <w:bookmarkStart w:id="0" w:name="_GoBack"/>
      <w:bookmarkEnd w:id="0"/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1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、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每日上午、下午分别对废水自动监控仪器运行状态进行远程巡查，检查数据传输系统是否正常，如发现数据有持续异常情况，应立即前往废水监控室进行检查处理。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2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、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每周对监控系统进行现场维护：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ab/>
        <w:t xml:space="preserve"> 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(1)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检查各台自动分析仪及辅助设备的运行状态和主要技术参数，判断运行是否正常。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(2)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检查自来水供应、泵取水情况，检查内部管道是否畅通，仪器自动清洗装置是否运行正常，检查各自动分析仪的进样水管和排水管是否清洁，必要时进行清洁。定期清洗水泵和过滤网。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(3)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检查站房内电路系统、通讯系统是否正常。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(4)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检查各仪器标准溶液和试剂是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否在有效使用期内，按具体部门相关要求定期更换标准溶液和分析试剂。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(5)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观察数据采集传输仪运行情况，并检查连接处有无损坏，对数据进行抽样检查，对比自动分析仪、数据采集传输仪及上位机接收到的数据是否一致。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lastRenderedPageBreak/>
        <w:t>3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、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每月第一周对现场仪器设备进行一次全面维护，除</w:t>
      </w:r>
      <w:proofErr w:type="gramStart"/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周维护</w:t>
      </w:r>
      <w:proofErr w:type="gramEnd"/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内容之外，对数据进行校准维护，并做好记录台账；现场维护增加以下内容：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(1)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每月至少进行一次</w:t>
      </w:r>
      <w:proofErr w:type="gramStart"/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质控样比对</w:t>
      </w:r>
      <w:proofErr w:type="gramEnd"/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试验。</w:t>
      </w:r>
      <w:proofErr w:type="gramStart"/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质控样比对</w:t>
      </w:r>
      <w:proofErr w:type="gramEnd"/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试验结果应满足相对误差不大于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1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0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％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，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水样误差不大于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15%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，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PH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误差±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0.5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（此误差达到或优于环保主管部门要求）。若不满足上述要求，应立即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重新进行第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2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次</w:t>
      </w:r>
      <w:proofErr w:type="gramStart"/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质控样比对</w:t>
      </w:r>
      <w:proofErr w:type="gramEnd"/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试验或校验直至达标为止。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(2)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每月的现场维护内容还包括对在线监测器进行一次保养，对水泵和取水管路、配水和进水系统、仪器分析系统进行维护。对数据存储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/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控制系统工作状态进行一次检查，对自动分析仪进行一次日常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校验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。检查监测仪器接地情况，检查监测用房防雷措施。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4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、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每季度</w:t>
      </w:r>
      <w:proofErr w:type="gramStart"/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除月维护</w:t>
      </w:r>
      <w:proofErr w:type="gramEnd"/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内容之外，检查在线监测仪水样导管、排水导管、活塞和密封圈，必要时进行更换。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5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、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其他预防性维护：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(1)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保持机房、监控箱的清洁，保持设备的清洁，避免仪器振动，保证监测用房的温度、湿度满足仪器正常运行的需求。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 xml:space="preserve"> 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(2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)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保持各仪器管路通畅，出水正常，无漏液。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(3)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对电源控制器、空调等辅助设备要进行正常性检查。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(4)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此处未提及的维护内容，按相关仪器说明书的要求进行仪器维护保养、易耗品的定期更换工作。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6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、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故障响应和修复时间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lastRenderedPageBreak/>
        <w:t>(1)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易损易耗件的维护与更换：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中标方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保证在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 xml:space="preserve"> 2 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小时内响应，并于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 xml:space="preserve"> 12 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小时内恢复系统的正常工作，并把维修造成数据不准现象报告环保部门。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(2)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重大故障的解决：对于设备主机（除易损易耗件外）的损坏或其他故障需要维修与更换的，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中标方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负责在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 xml:space="preserve"> 2 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小时内响应，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招标方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提供（或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招标方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出资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中标方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代购）配件后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，中标方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于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 xml:space="preserve"> 24 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小时内完成修复或更换，如果设备在规定的时间内无法修复，由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中标方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负责与环保部门协商解决。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(3)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中标方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保证所有响应和故障修复时间，满足环保主管部门的要求。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(4)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中标方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发现设备存在故障的，应当及时通报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招标方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。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7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、每月一次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COD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、氨氮、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PH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设备比对；每季一次流量计比对；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每年一次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COD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、氨氮、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PH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、流量计等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设备计量检测认证。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配件的更换：</w:t>
      </w:r>
    </w:p>
    <w:p w:rsidR="005752B5" w:rsidRPr="009F1DA9" w:rsidRDefault="00CA670A">
      <w:pPr>
        <w:spacing w:line="560" w:lineRule="exact"/>
        <w:ind w:firstLineChars="200" w:firstLine="640"/>
        <w:rPr>
          <w:rFonts w:asciiTheme="majorEastAsia" w:eastAsiaTheme="majorEastAsia" w:hAnsiTheme="majorEastAsia" w:cs="方正仿宋_GBK"/>
          <w:sz w:val="32"/>
          <w:szCs w:val="32"/>
          <w:lang w:eastAsia="zh-CN"/>
        </w:rPr>
      </w:pP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为了确保监测仪器的检测精度，水质在线监测</w:t>
      </w:r>
      <w:proofErr w:type="gramStart"/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仪每年</w:t>
      </w:r>
      <w:proofErr w:type="gramEnd"/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必须更换腐蚀磨损的易损件，配件则根据仪器运行实际情况更换或维修。所更换的配件单价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3000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元以上的，费用由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招标方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负责；所更换的配件单价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3000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元以内的，费用由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中标方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负责</w:t>
      </w:r>
      <w:r w:rsidRPr="009F1DA9">
        <w:rPr>
          <w:rFonts w:asciiTheme="majorEastAsia" w:eastAsiaTheme="majorEastAsia" w:hAnsiTheme="majorEastAsia" w:cs="方正仿宋_GBK" w:hint="eastAsia"/>
          <w:sz w:val="32"/>
          <w:szCs w:val="32"/>
          <w:lang w:eastAsia="zh-CN"/>
        </w:rPr>
        <w:t>。</w:t>
      </w:r>
    </w:p>
    <w:sectPr w:rsidR="005752B5" w:rsidRPr="009F1DA9">
      <w:pgSz w:w="11906" w:h="16838"/>
      <w:pgMar w:top="1020" w:right="1800" w:bottom="102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70A" w:rsidRDefault="00CA670A">
      <w:r>
        <w:separator/>
      </w:r>
    </w:p>
  </w:endnote>
  <w:endnote w:type="continuationSeparator" w:id="0">
    <w:p w:rsidR="00CA670A" w:rsidRDefault="00CA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70A" w:rsidRDefault="00CA670A">
      <w:r>
        <w:separator/>
      </w:r>
    </w:p>
  </w:footnote>
  <w:footnote w:type="continuationSeparator" w:id="0">
    <w:p w:rsidR="00CA670A" w:rsidRDefault="00CA6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B5"/>
    <w:rsid w:val="005752B5"/>
    <w:rsid w:val="009F1DA9"/>
    <w:rsid w:val="00CA670A"/>
    <w:rsid w:val="17AA23CB"/>
    <w:rsid w:val="31932BF6"/>
    <w:rsid w:val="368F0CB2"/>
    <w:rsid w:val="49384A20"/>
    <w:rsid w:val="615D6EDF"/>
    <w:rsid w:val="77F6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rsid w:val="009F1D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F1DA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9F1D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F1DA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rsid w:val="009F1D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F1DA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9F1D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F1DA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227</Words>
  <Characters>1295</Characters>
  <Application>Microsoft Office Word</Application>
  <DocSecurity>0</DocSecurity>
  <Lines>10</Lines>
  <Paragraphs>3</Paragraphs>
  <ScaleCrop>false</ScaleCrop>
  <Company>微软中国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</dc:creator>
  <cp:lastModifiedBy>微软用户</cp:lastModifiedBy>
  <cp:revision>2</cp:revision>
  <cp:lastPrinted>2025-06-28T01:39:00Z</cp:lastPrinted>
  <dcterms:created xsi:type="dcterms:W3CDTF">2025-06-27T00:10:00Z</dcterms:created>
  <dcterms:modified xsi:type="dcterms:W3CDTF">2025-06-30T02:56:00Z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eyJoZGlkIjoiY2I1MTY2ZTU4OTRhMDgyZjQ4MmMwNGNjZmExMDBlODMiLCJ1c2VySWQiOiI0MzkwNDQ1MTcifQ==</vt:lpwstr>
  </property>
  <property fmtid="{D5CDD505-2E9C-101B-9397-08002B2CF9AE}" pid="4" name="ICV">
    <vt:lpwstr>120C59CEAD804EC0968FF04AEC3B1C04_12</vt:lpwstr>
  </property>
</Properties>
</file>